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6" w:rsidRPr="00F72736" w:rsidRDefault="001C4EBF" w:rsidP="00F72736">
      <w:pPr>
        <w:rPr>
          <w:sz w:val="24"/>
        </w:rPr>
      </w:pPr>
      <w:proofErr w:type="spellStart"/>
      <w:r>
        <w:rPr>
          <w:b/>
          <w:i/>
          <w:sz w:val="24"/>
        </w:rPr>
        <w:t>NTx</w:t>
      </w:r>
      <w:proofErr w:type="spellEnd"/>
      <w:r>
        <w:rPr>
          <w:b/>
          <w:i/>
          <w:sz w:val="24"/>
        </w:rPr>
        <w:t xml:space="preserve"> 360 Grad</w:t>
      </w:r>
      <w:r w:rsidR="00BE6348">
        <w:rPr>
          <w:b/>
          <w:i/>
          <w:sz w:val="24"/>
        </w:rPr>
        <w:tab/>
      </w:r>
      <w:r w:rsidR="00BE6348">
        <w:rPr>
          <w:b/>
          <w:i/>
          <w:sz w:val="24"/>
        </w:rPr>
        <w:tab/>
      </w:r>
      <w:r w:rsidR="00BE6348">
        <w:rPr>
          <w:b/>
          <w:i/>
          <w:sz w:val="24"/>
        </w:rPr>
        <w:tab/>
      </w:r>
      <w:r w:rsidR="00BE6348">
        <w:rPr>
          <w:b/>
          <w:i/>
          <w:sz w:val="24"/>
        </w:rPr>
        <w:tab/>
      </w:r>
      <w:r w:rsidR="00BE6348">
        <w:rPr>
          <w:b/>
          <w:i/>
          <w:sz w:val="24"/>
        </w:rPr>
        <w:tab/>
      </w:r>
      <w:r w:rsidR="00BE6348">
        <w:rPr>
          <w:b/>
          <w:i/>
          <w:sz w:val="24"/>
        </w:rPr>
        <w:tab/>
      </w:r>
      <w:r w:rsidR="00BE6348">
        <w:rPr>
          <w:rFonts w:ascii="Calibri" w:hAnsi="Calibri"/>
          <w:noProof/>
          <w:lang w:eastAsia="de-DE"/>
        </w:rPr>
        <w:drawing>
          <wp:inline distT="0" distB="0" distL="0" distR="0">
            <wp:extent cx="2198728" cy="1017917"/>
            <wp:effectExtent l="0" t="0" r="0" b="0"/>
            <wp:docPr id="1" name="Grafik 1" descr="cid:image001.png@01D24C74.2F1B4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x_logo_3rot-grau-fürPräsentation.png" descr="cid:image001.png@01D24C74.2F1B47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9092" cy="1018085"/>
                    </a:xfrm>
                    <a:prstGeom prst="rect">
                      <a:avLst/>
                    </a:prstGeom>
                    <a:noFill/>
                    <a:ln>
                      <a:noFill/>
                    </a:ln>
                  </pic:spPr>
                </pic:pic>
              </a:graphicData>
            </a:graphic>
          </wp:inline>
        </w:drawing>
      </w:r>
    </w:p>
    <w:p w:rsidR="00282D6C" w:rsidRDefault="00282D6C">
      <w:pPr>
        <w:rPr>
          <w:sz w:val="24"/>
        </w:rPr>
      </w:pPr>
      <w:r w:rsidRPr="00282D6C">
        <w:rPr>
          <w:sz w:val="24"/>
        </w:rPr>
        <w:t xml:space="preserve">Ein </w:t>
      </w:r>
      <w:r>
        <w:rPr>
          <w:sz w:val="24"/>
        </w:rPr>
        <w:t xml:space="preserve">gemeinsames </w:t>
      </w:r>
      <w:r w:rsidRPr="00282D6C">
        <w:rPr>
          <w:sz w:val="24"/>
        </w:rPr>
        <w:t xml:space="preserve">Projekt </w:t>
      </w:r>
      <w:r>
        <w:rPr>
          <w:sz w:val="24"/>
        </w:rPr>
        <w:t xml:space="preserve">der </w:t>
      </w:r>
      <w:r w:rsidR="001C4EBF">
        <w:rPr>
          <w:sz w:val="24"/>
        </w:rPr>
        <w:t xml:space="preserve">Medizinischen Hochschule Hannover, der AOK Niedersachsen, der KVN und der </w:t>
      </w:r>
      <w:proofErr w:type="spellStart"/>
      <w:r w:rsidR="001C4EBF">
        <w:rPr>
          <w:sz w:val="24"/>
        </w:rPr>
        <w:t>symedia</w:t>
      </w:r>
      <w:proofErr w:type="spellEnd"/>
      <w:r w:rsidR="001C4EBF">
        <w:rPr>
          <w:sz w:val="24"/>
        </w:rPr>
        <w:t xml:space="preserve"> GmbH </w:t>
      </w:r>
      <w:r w:rsidR="00110A07">
        <w:rPr>
          <w:sz w:val="24"/>
        </w:rPr>
        <w:t>welches</w:t>
      </w:r>
      <w:bookmarkStart w:id="0" w:name="_GoBack"/>
      <w:bookmarkEnd w:id="0"/>
      <w:r>
        <w:rPr>
          <w:sz w:val="24"/>
        </w:rPr>
        <w:t xml:space="preserve"> </w:t>
      </w:r>
      <w:r w:rsidRPr="00282D6C">
        <w:rPr>
          <w:sz w:val="24"/>
        </w:rPr>
        <w:t xml:space="preserve">durch den Innovationsfond gefördert wird. Das übergeordnete Ziel des Innovationsfonds ist es, die Versorgung in der gesetzlichen Krankenversicherung qualitativ weiter zu entwickeln. Die Förderung ermöglicht es, neue Versorgungsmodelle zu erproben und durch eine sorgfältige Evaluation zu prüfen, ob es sinnvoll ist, das neue Konzept in die von der gesetzlichen Krankenversicherung finanzierte Regelversorgung der Bevölkerung zu übernehmen. </w:t>
      </w:r>
    </w:p>
    <w:p w:rsidR="00D309D5" w:rsidRPr="00B66643" w:rsidRDefault="00B91395">
      <w:pPr>
        <w:rPr>
          <w:b/>
          <w:i/>
          <w:sz w:val="24"/>
        </w:rPr>
      </w:pPr>
      <w:r>
        <w:rPr>
          <w:b/>
          <w:sz w:val="24"/>
        </w:rPr>
        <w:t>Kurzexposé</w:t>
      </w:r>
      <w:r w:rsidR="00D72694" w:rsidRPr="00B66643">
        <w:rPr>
          <w:b/>
          <w:sz w:val="24"/>
        </w:rPr>
        <w:t xml:space="preserve"> </w:t>
      </w:r>
    </w:p>
    <w:p w:rsidR="00F72736" w:rsidRDefault="001C4EBF">
      <w:pPr>
        <w:rPr>
          <w:sz w:val="24"/>
        </w:rPr>
      </w:pPr>
      <w:r>
        <w:rPr>
          <w:sz w:val="24"/>
        </w:rPr>
        <w:t xml:space="preserve">Das </w:t>
      </w:r>
      <w:r w:rsidR="00BE6348">
        <w:rPr>
          <w:sz w:val="24"/>
        </w:rPr>
        <w:t xml:space="preserve">klinik- und </w:t>
      </w:r>
      <w:proofErr w:type="spellStart"/>
      <w:r w:rsidR="00BE6348">
        <w:rPr>
          <w:sz w:val="24"/>
        </w:rPr>
        <w:t>sektorübergreifende</w:t>
      </w:r>
      <w:proofErr w:type="spellEnd"/>
      <w:r w:rsidR="00BE6348">
        <w:rPr>
          <w:sz w:val="24"/>
        </w:rPr>
        <w:t xml:space="preserve"> </w:t>
      </w:r>
      <w:r>
        <w:rPr>
          <w:sz w:val="24"/>
        </w:rPr>
        <w:t xml:space="preserve">Projekt befasst sich mit der Weiterentwicklung der </w:t>
      </w:r>
      <w:r w:rsidR="00BE6348">
        <w:rPr>
          <w:sz w:val="24"/>
        </w:rPr>
        <w:t xml:space="preserve">Nachsorge </w:t>
      </w:r>
      <w:r>
        <w:rPr>
          <w:sz w:val="24"/>
        </w:rPr>
        <w:t>von nierentransplantierten Patienten mit dem Ziel der Verbesserung des Transplantatüberlebens, der Lebensqualität der der Betroffenen und der Verbesserung der Wirtschaftlichkeit der Versorgung</w:t>
      </w:r>
      <w:r w:rsidR="00BE6348">
        <w:rPr>
          <w:sz w:val="24"/>
        </w:rPr>
        <w:t xml:space="preserve">. Es sollen so </w:t>
      </w:r>
      <w:r>
        <w:rPr>
          <w:sz w:val="24"/>
        </w:rPr>
        <w:t xml:space="preserve"> abstoßungsbedingte Dialysen vermieden oder hinausgezögert</w:t>
      </w:r>
      <w:r w:rsidR="00BE6348">
        <w:rPr>
          <w:sz w:val="24"/>
        </w:rPr>
        <w:t xml:space="preserve"> werden. </w:t>
      </w:r>
      <w:r>
        <w:rPr>
          <w:sz w:val="24"/>
        </w:rPr>
        <w:t xml:space="preserve"> </w:t>
      </w:r>
      <w:r w:rsidR="00BE6348">
        <w:rPr>
          <w:sz w:val="24"/>
        </w:rPr>
        <w:t xml:space="preserve">Des Weiteren sollen </w:t>
      </w:r>
      <w:r>
        <w:rPr>
          <w:sz w:val="24"/>
        </w:rPr>
        <w:t xml:space="preserve"> Komplikationen bzw. Co-Morbidität bedingte Hospitalisierung </w:t>
      </w:r>
      <w:r w:rsidR="00BE6348">
        <w:rPr>
          <w:sz w:val="24"/>
        </w:rPr>
        <w:t>reduziert werden</w:t>
      </w:r>
      <w:r>
        <w:rPr>
          <w:sz w:val="24"/>
        </w:rPr>
        <w:t>.</w:t>
      </w:r>
    </w:p>
    <w:p w:rsidR="001C4EBF" w:rsidRDefault="001C4EBF">
      <w:pPr>
        <w:rPr>
          <w:sz w:val="24"/>
        </w:rPr>
      </w:pPr>
      <w:r>
        <w:rPr>
          <w:sz w:val="24"/>
        </w:rPr>
        <w:t>Im Zentrum der Interventionsmaßnahmen stehen telemedizinische Nachuntersuchungen nach standardisiertem Nachsorgeprotokoll und außerordentlichen Televisiten, psychosomatisch-psychosoziale Risiko-Assessments und telemedizinisches Adhärenz-Coaching, ein weiterführendes kardiovaskuläres Assessment und telemedizinisch begl</w:t>
      </w:r>
      <w:r w:rsidR="00BE6348">
        <w:rPr>
          <w:sz w:val="24"/>
        </w:rPr>
        <w:t xml:space="preserve">eitet </w:t>
      </w:r>
      <w:proofErr w:type="spellStart"/>
      <w:r w:rsidR="00BE6348">
        <w:rPr>
          <w:sz w:val="24"/>
        </w:rPr>
        <w:t>Trainingtherapie</w:t>
      </w:r>
      <w:proofErr w:type="spellEnd"/>
      <w:r w:rsidR="00BE6348">
        <w:rPr>
          <w:sz w:val="24"/>
        </w:rPr>
        <w:t xml:space="preserve"> über eine Trainings-App, ein kollaborierendes, interdisziplinäres Patientenmanagement soll zu einem besseren Gesundheitsverhalten (Erhöhung der Gesundheitskompetenz)</w:t>
      </w:r>
      <w:r w:rsidR="00110A07">
        <w:rPr>
          <w:sz w:val="24"/>
        </w:rPr>
        <w:t xml:space="preserve"> und Reduzierung verhaltensbedingter Risiken führen. Ein zentrales Fallmanagement übernimmt die Koordination.</w:t>
      </w:r>
    </w:p>
    <w:p w:rsidR="00BE6348" w:rsidRDefault="00BE6348">
      <w:pPr>
        <w:rPr>
          <w:sz w:val="24"/>
        </w:rPr>
      </w:pPr>
    </w:p>
    <w:sectPr w:rsidR="00BE63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94"/>
    <w:rsid w:val="00110A07"/>
    <w:rsid w:val="001C4EBF"/>
    <w:rsid w:val="00282D6C"/>
    <w:rsid w:val="004F7EE8"/>
    <w:rsid w:val="00A355D6"/>
    <w:rsid w:val="00B66643"/>
    <w:rsid w:val="00B91395"/>
    <w:rsid w:val="00BE6348"/>
    <w:rsid w:val="00CC4047"/>
    <w:rsid w:val="00D309D5"/>
    <w:rsid w:val="00D72694"/>
    <w:rsid w:val="00F72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E63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6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E63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24C74.2F1B47C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ITSG</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Oldhafer, Martina</dc:creator>
  <cp:lastModifiedBy>Oldhafer, Martina</cp:lastModifiedBy>
  <cp:revision>2</cp:revision>
  <dcterms:created xsi:type="dcterms:W3CDTF">2016-12-12T13:23:00Z</dcterms:created>
  <dcterms:modified xsi:type="dcterms:W3CDTF">2016-12-12T13:23:00Z</dcterms:modified>
</cp:coreProperties>
</file>